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554</w:t>
      </w:r>
    </w:p>
    <w:p>
      <w:r>
        <w:t>Bundesgericht (BGE), 2004-06-23, DE</w:t>
      </w:r>
    </w:p>
    <w:p>
      <w:r>
        <w:rPr>
          <w:b/>
        </w:rPr>
        <w:t xml:space="preserve">Quelle: </w:t>
      </w:r>
      <w:r>
        <w:t>https://mcp.opencaselaw.ch/entscheid/bge_130 III 554</w:t>
      </w:r>
    </w:p>
    <w:p>
      <w:r>
        <w:t>FR: ATF 130 III 554</w:t>
      </w:r>
    </w:p>
    <w:p>
      <w:r>
        <w:t>IT: DTF 130 III 554</w:t>
      </w:r>
    </w:p>
    <w:p>
      <w:pPr>
        <w:pStyle w:val="Heading2"/>
      </w:pPr>
      <w:r>
        <w:t>Regeste</w:t>
      </w:r>
    </w:p>
    <w:p>
      <w:r>
        <w:t>Regeste Art. 736 Abs. 1 und Art. 738 ZGB; Ermittlung des Zwecks und Löschung eines Wegrechts. Die Erschliessung durch eine öffentliche Strasse rechtfertigt die Löschung eines bestehenden privaten Wegrechts dann, wenn die öffentliche Strasse den mit dem privaten Wegrecht gewährleisteten Zweck vollumfänglich erfüllt und die bisherige private Wegverbindung nicht vorteilhafter ist als die neu erstellte öffentliche. Eine Ausnahme besteht für Wegrechte, die nach dem Willen der Parteien den Charakter eines Notwegs haben (E. 2-4).</w:t>
      </w:r>
    </w:p>
    <w:p>
      <w:pPr>
        <w:pStyle w:val="Heading2"/>
      </w:pPr>
      <w:r>
        <w:t>Erwägungen</w:t>
      </w:r>
    </w:p>
    <w:p>
      <w:r>
        <w:rPr>
          <w:b/>
        </w:rPr>
        <w:t>E. 2</w:t>
      </w:r>
    </w:p>
    <w:p>
      <w:r>
        <w:t>Vor Bundesgericht ist streitig, ob die Vorinstanz Art. 736 ZGB richtig angewendet hat. Nach Art. 736 ZGB kann der Belastete die Löschung einer Dienstbarkeit verlangen, wenn diese für das berechtigte Grundstück alles Interesse verloren hat (Abs. 1). Ist ein Interesse des Berechtigten zwar noch vorhanden, aber im Vergleich zur Belastung von unverhältnismässig geringer Bedeutung, so kann die Dienstbarkeit gegen Entschädigung ganz oder teilweise abgelöst werden (Abs. 2). Unter dem Interesse für das berechtigte Grundstück bzw. dem Interesse des Berechtigten versteht die Rechtsprechung das Interesse des Eigentümers des berechtigten Grundstücks an der Ausübung der Dienstbarkeit gemäss deren Inhalt und Umfang. Dabei ist vom Grundsatz der Identität der Dienstbarkeit auszugehen, der besagt, dass eine Dienstbarkeit nicht zu einem andern Zweck aufrechterhalten werden darf als jenem, zu dem sie errichtet worden ist. Zu prüfen ist somit in erster Linie, ob der Eigentümer des berechtigten Grundstücks noch ein Interesse daran hat, die Dienstbarkeit zum ursprünglichen Zweck auszuüben, und wie sich dieses Interesse zu jenem verhält, das anlässlich der Begründung der Dienstbarkeit bestand ( BGE 107 II 331 E. 3 S. 334 f.; BGE 121 III 52 E. 2 S. 54; BGE 114 II 426 E. 2a S. 428, je mit Hinweisen). Dabei bestimmt sich die Interessenlage des Eigentümers des berechtigten Grundstücks nach objektiven Kriterien ( BGE 121 III 52 E. 3a S. 55 mit Hinweisen).</w:t>
      </w:r>
    </w:p>
    <w:p>
      <w:r>
        <w:rPr>
          <w:b/>
        </w:rPr>
        <w:t>E. 3</w:t>
      </w:r>
    </w:p>
    <w:p>
      <w:r>
        <w:t>Das Obergericht ist insgesamt davon ausgegangen, das Interesse der Beklagten an der Ausübung des Wegrechts decke sich nicht mit dem ursprünglichen Zweck, zu dem das Wegrecht errichtet worden sei. Das im Zeitpunkt seiner Errichtung massgebende Interesse am Wegrecht bestehe seit dem Bau der U.-Strasse nicht mehr. Zu einem anderen Zweck bzw. Interesse dürfe das Wegrecht aber nicht aufrechterhalten bleiben. Es sei deshalb im Grundbuch zu löschen.</w:t>
      </w:r>
    </w:p>
    <w:p>
      <w:r>
        <w:rPr>
          <w:b/>
        </w:rPr>
        <w:t>E. 3.1</w:t>
      </w:r>
    </w:p>
    <w:p>
      <w:r>
        <w:t>Für die Ermittlung von Inhalt und Umfang einer Dienstbarkeit gibt Art. 738 ZGB eine Stufenordnung vor. Ausgangspunkt ist der Grundbucheintrag. Soweit sich Rechte und Pflichten aus dem Eintrag deutlich ergeben, ist dieser für den Inhalt der Dienstbarkeit BGE 130 III 554 S. 557 massgebend ( Art. 738 Abs. 1 ZGB ). Nur wenn sein Wortlaut unklar ist, darf im Rahmen des Eintrags auf den Erwerbsgrund zurückgegriffen werden ( Art. 738 Abs. 2 ZGB ), d.h. auf den Begründungsakt, der als Beleg beim Grundbuchamt aufbewahrt wird ( Art. 948 Abs. 2 ZGB ) und einen Bestandteil des Grundbuchs bildet ( Art. 942 Abs. 2 ZGB ). Ist auch der Erwerbsgrund nicht schlüssig, kann sich der Inhalt der Dienstbarkeit - im Rahmen des Eintrags - aus der Art ergeben, wie sie während längerer Zeit unangefochten und in gutem Glauben ausgeübt worden ist ( Art. 738 Abs. 2 ZGB ; zuletzt: BGE 128 III 169 E. 3a S. 172 mit Hinweis). Ordentlicher "Erwerbsgrund" im Sinne des Gesetzes ist der Dienstbarkeitsvertrag (vgl. LIVER, Zürcher Kommentar, 1980, N. 86 zu Art. 738 ZGB ). Seine Auslegung erfolgt in gleicher Weise wie die sonstiger Willenserklärungen (vgl. LEEMANN, Berner Kommentar, 1925, N. 6 zu Art. 738 ZGB ). Gemäss Art. 18 Abs. 1 OR bestimmt sich der Inhalt des Vertrags nach dem übereinstimmenden wirklichen Willen der Parteien. Nur wenn eine tatsächliche Willensübereinstimmung unbewiesen bleibt, ist der Vertrag nach dem Vertrauensgrundsatz auszulegen. Die empirische oder subjektive hat gegenüber der normativen oder objektivierten Vertragsauslegung den Vorrang (allgemein: BGE 121 III 118 E. 4b/aa S. 123; BGE 129 III 118 E. 2.5 S. 122; für Grunddienstbarkeiten zuletzt: BGE 128 III 265 E. 3a S. 267). Diese allgemeinen Auslegungsgrundsätze gelten vorbehaltlos unter den ursprünglichen Vertragsparteien, im Verhältnis zu Dritten dagegen nur mit einer Einschränkung, die sich aus dem öffentlichen Glauben des Grundbuchs ( Art. 973 ZGB ) ergibt, zu dem - wie gesagt - auch der Dienstbarkeitsvertrag gehört. Bei dessen Auslegung können gegenüber Dritten, die an der Errichtung der Dienstbarkeit nicht beteiligt waren und im Vertrauen auf das Grundbuch das dingliche Recht erworben haben, individuelle persönliche Umstände und Motive nicht berücksichtigt werden, die für die Willensbildung der ursprünglichen Vertragsparteien bestimmend waren, aus dem Dienstbarkeitsvertrag selber aber nicht hervorgehen und für einen unbeteiligten Dritten normalerweise auch nicht erkennbar sind ( BGE 108 II 542 E. 2 S. 545 f. unter Hinweis auf die Ansichten von LIVER, a.a.O., N. 94 f. zu Art. 738 ZGB , und PIOTET, Dienstbarkeiten und Grundlasten, Schweizerisches Privatrecht, Bd. V/1, Basel 1977, § 93/I S. 584). Im gezeigten Umfang wird der Vorrang der subjektiven vor der objektivierten Vertragsauslegung eingeschränkt. BGE 130 III 554 S. 558 Diese Rechtslage bringen Lehre und Rechtsprechung teilweise nur verkürzt zum Ausdruck, wenn es heisst, der Dienstbarkeitsvertrag sei objektiviert bzw. nach Massgabe des Vertrauensprinzips auszulegen, wo sich nicht mehr die Begründungsparteien, sondern Dritte gegenüberstünden (z.B. Urteil 5C.269/2001 vom 6. März 2002, E. 4b nicht publ. in BGE 128 III 169 ; Urteil 5C.200/2000 vom 29. März 2001, E. 2c, publ. in: ZBGR 83/2002 S. 245; vgl. etwa SCHMID/HÜRLIMANN-KAUP, Sachenrecht, 2. Aufl., Zürich 2003, N. 1279 S. 276).</w:t>
      </w:r>
    </w:p>
    <w:p>
      <w:r>
        <w:rPr>
          <w:b/>
        </w:rPr>
        <w:t>E. 3.2</w:t>
      </w:r>
    </w:p>
    <w:p>
      <w:r>
        <w:t>Der in erster Linie massgebende Grundbucheintrag "Wegrecht" ist nicht schlüssig für die Frage der Zweckbestimmung der Dienstbarkeit. Das Obergericht ist davon ausgegangen, im seinerzeitigen Mutationsplan werde für die Lage des Wegrechts auf eine "Parz. a entlang der eingetrag., lt. Bebauungsplan 1:2000 proj. Strasse" verwiesen. Mit diesem Hinweis komme das Motiv für die Begründung des Wegrechts deutlich zum Ausdruck. Es sei darum gegangen, eine Verbindung von den heute im Eigentum der Beklagten stehenden Parzellen an das öffentliche Strassennetz sicher zu stellen. Der abparzellierte südliche Teil hätte erschlossen werden sollen, zunächst mit einem Wegrecht und anschliessend mit der laut Bebauungsplan projektierten Strasse. Es seien keine Anhaltspunkte dafür ersichtlich, dass damals die von den Beklagten angeführten Gründe - direkter, ungehinderter und sicherer Anschluss - eine Rolle gespielt hätten. Mit der Begründung des Wegrechts hätten die Parteien des seinerzeitigen Dienstbarkeitsvertrags somit einzig und allein bezweckt, den südlich gelegenen und heute im Eigentum der Beklagten stehenden Parzellen einen Anschluss an das öffentliche Strassennetz zu gewähren. Gegenüber diesen Erwägungen des Obergerichts erheben die Beklagten Einwände, als ob es sich dabei um das Ergebnis einer objektivierten Vertragsauslegung handelt, die das Bundesgericht im Berufungsverfahren frei überprüfen kann. Gleichzeitig rügen die Beklagten die Verletzung der in Art. 8 ZGB enthaltenen Beweisvorschriften, wie wenn das Obergericht den wirklichen Willen der Parteien für das Bundesgericht verbindlich festgestellt hätte ( Art. 63 Abs. 2 OG ; BGE 129 III 664 E. 3.1 S. 667). Ob ein kantonales Urteil im einen oder anderen Sinn zu verstehen ist, wird aus seiner Begründung oft nicht ohne weiteres klar. Die Abgrenzung von Tat- und Rechtsfrage kann vorab bei der Vertragsauslegung schwierig sein (vgl. KLETT, Berufung, in: Seminar Bundesrechtsmittel SVA, Bd. 16, BGE 130 III 554 S. 559 Bern 2002, S. 22; MÜNCH, Berufung und zivilrechtliche Nichtigkeitsbeschwerde, in: Prozessieren vor Bundesgericht, 2. Aufl., Basel 1998, N. 4.42 S. 135 und N. 4.50 S. 138). Was tatsächliche Feststellung ist, kann sich aus dem Gegensatz zur Rechtsfrage ergeben, lässt sich aber nicht losgelöst von der Art ihres Zustandekommens bestimmen. Nicht entscheidend ist, ob der Feststellung des Sachverhalts ein Beweisverfahren vorangegangen ist. Denn Tatfragen können auch ohne Beweiserhebung auf Grund von Indizien, eigenem Wissen des Gerichts oder allgemeiner Lebenserfahrung beantwortet werden (vgl. für Einzelheiten: MESSMER/IMBODEN, Die eidgenössischen Rechtsmittel in Zivilsachen, Zürich 1992, N. 94-96 S. 128 ff., mit Hinweisen). Das Obergericht hat - abgesehen von einem Augenschein - weder ein Beweisverfahren durchgeführt (z.B. Einvernahme der ursprünglichen Vertragsparteien oder des Nachführungsgeometers) noch Indizien genannt, auf die es seine Annahme stützt. Es hat das "Motiv" für die Begründung des Wegrechts einzig aus dem Mutationsplan erschlossen, der von den ursprünglichen Vertragsparteien unterzeichnet worden ist und integrierenden Bestandteil des Dienstbarkeitsvertrags gebildet hat. Unter diesen Umständen muss davon ausgegangen werden, das Obergericht habe nicht mehr positiv feststellen können, welche Motive für die Errichtung der Dienstbarkeit tatsächlich massgebend waren. Gestützt auf die Grundbuchbelege wird im obergerichtlichen Urteil vielmehr unterstellt, die Parteien hätten mit dem Wegrecht denjenigen Zweck verfolgt, der sich auf Grund der damaligen Verhältnisse aus den Bedürfnissen des herrschenden Grundstücks vernünftigerweise ergab ( BGE 107 II 331 E. 3b S. 335 f.). Die Ermittlung, welchen Sinn und Zweck die Dienstbarkeit zum Zeitpunkt der Errichtung hatte, betrifft die objektivierte Vertragsauslegung auf Grund der Bedürfnisse des herrschenden Grundstücks ( BGE 115 II 434 E. 2b S. 436; Urteil 5C.217/1991 vom 26. Mai 1992, E. 2, publ. in: SJ 1992 S. 600/601 und ZBGR 77/1996 S. 51/52 mit Hinweisen). Sie kann im Berufungsverfahren frei überprüft werden.</w:t>
      </w:r>
    </w:p>
    <w:p>
      <w:r>
        <w:rPr>
          <w:b/>
        </w:rPr>
        <w:t>E. 3.3</w:t>
      </w:r>
    </w:p>
    <w:p>
      <w:r>
        <w:t>In der Lehre, auf die sich das obergerichtliche Urteil stützt, wird dafürgehalten, ein Wegrecht sei zwecklos geworden und für den Eigentümer des herrschenden Grundstücks dann nicht mehr von Interesse, wenn der damit erfüllte Zweck inzwischen durch eine öffentliche Strasse gewährleistet werde (SCHMID/HÜRLIMANN-KAUP, a.a.O., N. 1309 S. 283; STEINAUER, Les droits réels, Bd. II, 3. Aufl., Bern BGE 130 III 554 S. 560 2002, N. 2267 S. 384; vgl. auch LIVER, a.a.O., N. 18 und 61 zu Art. 736 ZGB ). Diese Aussage trifft vorbehaltlos zu, wenn die öffentliche Strasse entsprechend dem privaten Wegrecht gebaut wird, wie es im Dienstbarkeitsvertrag umschrieben und in den dazugehörigen Plänen eingezeichnet ist. Dann kann ohne weiteres gesagt werden, die öffentliche Strasse erfülle den Zweck, den bisher das Wegrecht gewährleistet habe. Weist die öffentliche Strasse dagegen einen anderen Inhalt oder Umfang auf als das Wegrecht, nimmt sie - wie hier - insbesondere einen anderen Verlauf als das Wegrecht oder wird sie in einer andern Breite erstellt, dann ist in jedem einzelnen Fall zu prüfen, ob die öffentliche Strasse den mit dem Wegrecht gewährleisteten Zweck vollumfänglich erfüllt oder - anders gesagt - ob die bisherige private Wegverbindung nicht vorteilhafter ist als die neu erstellte öffentliche (vgl. etwa LEEMANN, a.a.O., N. 7 zu Art. 736 ZGB ). Denn entscheidend ist, ob die Dienstbarkeit im konkreten Fall für das berechtigte Grundstück alles Interesse verloren hat bzw. ob der berechtigte Eigentümer weiterhin ein vernünftiges Interesse an der Ausübung der Dienstbarkeit hat ( BGE 89 II 370 E. 3 und 4 S. 383 f.). Die davon abweichende, gegenteilige Auffassung des Obergerichts könnte nur geteilt werden, wenn ein Wegrecht gleichsam den Charakter eines Notwegrechts hat, d.h. einem Grundeigentümer eingeräumt wird, der keinen genügenden Weg von seinem Grundstück auf eine öffentliche Strasse hat (vgl. Art. 694 ZGB ). Wäre dies anzunehmen, verlöre das vertraglich vereinbarte Wegrecht seine Existenzberechtigung, sobald die Notlage für das herrschende Grundstück durch den Anschluss an das öffentliche Wegnetz behoben ist (LIVER, a.a.O., N. 75 zu Art. 736 ZGB ). Eine derartige Wegenot hat das Obergericht indessen nicht ausdrücklich festgestellt und fände zudem keine Grundlage in den örtlichen Gegebenheiten. Wie sich aus dem Mutationsplan ohne weiteres ersehen lässt und ergänzend festgestellt werden kann ( Art. 64 Abs. 2 OG ), hat das berechtigte Grundstück alt-Nr. 2112 nicht nur über das Wegrecht nach Norden eine Verbindung zum öffentlichen Verkehrsnetz, sondern grenzt im Süden an die Strassenparzelle alt-Nr. 2484, die ebenfalls zur öffentlichen Strasse führt, dem heutigen V.-Weg. Das Wegrecht ist im Mutationsplan denn auch als Teil der im Bebauungsplan projektierten Strasse eingezeichnet, die der gesamten Westgrenze des belasteten und des berechtigten Grundstücks entlang führt und BGE 130 III 554 S. 561 anschliessend sowohl im Norden (über ein kurzes Stück des T.-Wegs) als auch im Süden (über ein kurzes Stück der Strassenparzelle alt-Nr. 2484 bzw. den V.-Weg) mit der R.-Strasse, der Hauptachse im fraglichen Quartier, verbunden ist. Eine Wegenot zu beseitigen, fällt damit als "Motiv" für die Begründung des Wegrechts ausser Betracht. Gleichzeitig ist damit die obergerichtliche Auffassung widerlegt, das Wegrecht sei im Jahre 1968 nur deshalb auf der Westseite der betroffenen Grundstücke errichtet worden, weil das am einfachsten zu bewerkstelligen gewesen sei, indem keine weiteren Eigentümer hätten mit einbezogen werden müssen. Die Grundbuchbelege verdeutlichen vielmehr, dass das Trassee des Wegrechts seinerzeit an die Westgrenze des belasteten Grundstücks gelegt wurde, weil dort die projektierte Strasse als direkte Verbindung zur R.-Strasse vorgesehen war. Nicht bloss irgendeine Verbindung zur öffentlichen Strasse sollte das Wegrecht gewährleisten, sondern diejenige gemäss Bebauungsplan. Entscheidend für den Ausgang des vorliegenden Verfahrens ist aus den dargelegten Gründen nicht der Umstand allein, dass die beklagtischen Grundstücke an das öffentliche Verkehrsnetz angeschlossen sind, sondern ob die Beklagten deswegen ein vernünftiges Interesse am Wegrecht, so wie es konkret vereinbart worden ist, verloren haben. Dabei können alle Interessen in die Waagschale geworfen werden, die bereits im Zeitpunkt der Errichtung eine Rolle spielen konnten, ohne dass für jeden Vorteil oder Nachteil einzeln nachgewiesen werden müsste, dass er damals bereits tragend war. Insofern ist entgegen der Auffassung des Obergerichts nicht massgebend, ob es für die geltend gemachten Interessen Anhaltspunkte gibt, dass sie bereits im Zeitpunkt der Dienstbarkeitserrichtung für die damaligen Berechtigten subjektiv eine Rolle gespielt haben, sondern entscheidend ist, dass sie bei objektiver Betrachtung damals vernünftigerweise von Bedeutung sein konnten (E. 3.1 und 3.2 soeben; vgl. LIVER, a.a.O., N. 57 zu Art. 736 ZGB ; PIOTET, a.a.O., § 92/II S. 578). Das ist im Folgenden zu beurteilen.</w:t>
      </w:r>
    </w:p>
    <w:p>
      <w:r>
        <w:rPr>
          <w:b/>
        </w:rPr>
        <w:t>E. 4</w:t>
      </w:r>
    </w:p>
    <w:p>
      <w:r>
        <w:t>In Anbetracht seiner Rechtsauffassung ist das Obergericht nur mehr kurz auf die von den Beklagten geltend gemachten Interessen an der Beibehaltung des Wegrechts eingegangen. Seine Feststellungen über die örtlichen Verhältnisse genügen aber zur Beurteilung der Rechtsfrage, ob die beiden Verbindungen von den heute BGE 130 III 554 S. 562 im Eigentum der Beklagten stehenden Parzellen an das öffentliche Strassennetz gleichwertig sind oder ob das private Wegrecht gegenüber der öffentlichen U.-Strasse für die Beklagten vorteilhafter ist. Im obergerichtlichen Urteil wird nicht in Frage gestellt, dass auf dem T.-Weg zwischen der Einmündung der U.-Strasse und der Einmündung des Wegrechts kein Trottoir besteht, was gegenüber dem bestehenden Fusswegrecht einen Nachteil bedeutet. Ebenso wenig steht in Frage, dass das Wegrecht über die belasteten Grundstücke eben verläuft, während die U.-Strasse in Richtung T.-Weg ein Gefälle aufweist und Letzterer gegen die Einmündung des Wegrechts wiederum ansteigt. Die topographischen Verhältnisse sind insoweit nicht gleichwertig und lassen das private Wegrecht gegenüber der U.-Strasse, vor allem im Winter bei prekärer Fahrbahn, als die bessere Verbindung zum T.-Weg erscheinen. Schliesslich wird im obergerichtlichen Urteil auch nicht in Frage gestellt, dass die Beklagten über das Wegrecht eine kürzere Fusswegverbindung zum Ortsbus haben. Auch dieses Interesse dürfen die Beklagten in die Waagschale werfen, zumal das Obergericht zwar bezweifelt, aber nicht ausgeschlossen hat, dass der Ortsbus bereits im Zeitpunkt der Dienstbarkeitserrichtung bestanden hat. Das Obergericht hat auch nicht verneint, dass der T.-Weg als Einbahnstrasse ausgestaltet ist, so dass zum Erreichen der beklagtischen Grundstücke von Norden her kommend ein Umweg von mehreren hundert Metern gefahren werden muss. Das Obergericht hat zwar darauf hingewiesen, dass dieser Umweg heute auch bei Benutzung des Wegrechts gefahren werden müsse, weil das Einbahnzeichen (verbotene Fahrtrichtung) unmittelbar nördlich der Einmündung des Wegrechts angebracht sei. Dieser Hinweis vermag das geltend gemachte Interesse gleichwohl nicht zu entkräften. Denn es ist offen, wie der Verkehrsfluss gestaltet werden wird, falls die Klägerin bei der vorgesehenen Überbauung ihres Terrains zu deren Erschliessung auf dem Trassee des Wegrechts eine Privatstrasse erstellt. Aus verkehrstechnischer Sicht müsste wohl davon ausgegangen werden, dass das heutige Signal "Einbahnstrasse" um einige Meter auf die südliche Seite der Einmündung gestellt würde, so dass der T.-Weg bis zur Privatstrasse beidseitig befahren werden könnte. Dies hätte - wie seinerzeit im Bebauungsplan vorgesehen - die direkte Verbindung mit der R.-Strasse als Hauptachse im Gegenverkehr zur Folge. BGE 130 III 554 S. 563 Schliesslich ist auch der Hinweis des Obergerichts unbehelflich, das Trassee des Wegrechts sei heute mit Rasen überwachsen und würde sich als Fahrweg gar nicht eignen. Das Interesse am Fahrweg dürfte erst verneint werden, wenn nach dem gewöhnlichen Lauf der Dinge und nach der allgemeinen Lebenserfahrung nicht mehr damit zu rechnen wäre, dass die Dienstbarkeit in absehbarer Zeit wieder ausgeübt wird (vgl. BGE 89 II 370 E. 3 S. 383; BGE 81 II 189 E. 2 S. 194). Die Möglichkeit der Weiternutzung besteht unbestrittenermassen durchaus, wenn die Beklagten im vorliegenden Verfahren obsiegen. Diese haben die Absicht, das Wegrecht weiterhin auszuüben. Wenn nötig wäre es ihnen unbenommen, ihr Wegrecht gerichtlich durchzusetzen. Zudem sieht die Klägerin bei der Überbauung ihres Grundstücks offenbar eine Privatstrasse auf dem Trassee des Wegrechts vor, die auch von den Beklagten benutzt werden könnte. Zusammenfassend besteht heute noch ein vernünftiges Interesse am Bestand sowohl des Fuss- als auch des Fahrwegrechts.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